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709"/>
        <w:jc w:val="both"/>
        <w:spacing w:after="0"/>
      </w:pPr>
      <w:r>
        <w:rPr>
          <w:sz w:val="22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659264" behindDoc="1" locked="0" layoutInCell="1" allowOverlap="1">
                <wp:simplePos x="0" y="0"/>
                <wp:positionH relativeFrom="column">
                  <wp:posOffset>-1080135</wp:posOffset>
                </wp:positionH>
                <wp:positionV relativeFrom="paragraph">
                  <wp:posOffset>-720090</wp:posOffset>
                </wp:positionV>
                <wp:extent cx="7560000" cy="1440000"/>
                <wp:effectExtent l="0" t="0" r="3175" b="8255"/>
                <wp:wrapNone/>
                <wp:docPr id="1" name="Рисунок 3">
                  <a:hlinkClick xmlns:a="http://schemas.openxmlformats.org/drawingml/2006/main" r:id="rId1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80629784" name="Рисунок 3">
                          <a:hlinkClick r:id="rId12"/>
                        </pic:cNvPr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3"/>
                        <a:stretch/>
                      </pic:blipFill>
                      <pic:spPr bwMode="auto">
                        <a:xfrm>
                          <a:off x="0" y="0"/>
                          <a:ext cx="7560000" cy="14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-251659264;o:allowoverlap:true;o:allowincell:true;mso-position-horizontal-relative:text;margin-left:-85.05pt;mso-position-horizontal:absolute;mso-position-vertical-relative:text;margin-top:-56.70pt;mso-position-vertical:absolute;width:595.28pt;height:113.39pt;mso-wrap-distance-left:0.00pt;mso-wrap-distance-top:0.00pt;mso-wrap-distance-right:0.00pt;mso-wrap-distance-bottom:0.00pt;" stroked="false">
                <v:path textboxrect="0,0,0,0"/>
                <v:imagedata r:id="rId13" o:title=""/>
              </v:shape>
            </w:pict>
          </mc:Fallback>
        </mc:AlternateContent>
      </w:r>
      <w:r/>
    </w:p>
    <w:p>
      <w:pPr>
        <w:jc w:val="center"/>
        <w:spacing w:after="0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</w:p>
    <w:p>
      <w:pPr>
        <w:jc w:val="center"/>
        <w:spacing w:after="0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</w:p>
    <w:p>
      <w:pPr>
        <w:jc w:val="center"/>
        <w:spacing w:after="0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</w:p>
    <w:p>
      <w:pPr>
        <w:jc w:val="center"/>
        <w:spacing w:after="0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</w:p>
    <w:p>
      <w:pPr>
        <w:jc w:val="center"/>
        <w:spacing w:after="0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</w:p>
    <w:p>
      <w:pPr>
        <w:jc w:val="center"/>
        <w:spacing w:after="0"/>
        <w:rPr>
          <w:b/>
          <w:bCs/>
        </w:rPr>
      </w:pPr>
      <w:r>
        <w:rPr>
          <w:b/>
          <w:bCs/>
        </w:rPr>
        <w:t xml:space="preserve">ОПРОСНЫЙ ЛИСТ</w:t>
      </w:r>
      <w:r>
        <w:rPr>
          <w:b/>
          <w:bCs/>
        </w:rPr>
      </w:r>
    </w:p>
    <w:p>
      <w:pPr>
        <w:jc w:val="center"/>
        <w:spacing w:after="0"/>
        <w:rPr>
          <w:b/>
          <w:bCs/>
        </w:rPr>
      </w:pPr>
      <w:r>
        <w:rPr>
          <w:b/>
          <w:bCs/>
        </w:rPr>
        <w:t xml:space="preserve">ДЛЯ ЗАКАЗАЗА</w:t>
      </w:r>
      <w:r>
        <w:t xml:space="preserve"> </w:t>
      </w:r>
      <w:r>
        <w:rPr>
          <w:b/>
          <w:bCs/>
        </w:rPr>
        <w:t xml:space="preserve">ПЛАВАЮЩЕЕ ЗАБОРНОЕ УСТРОЙСТВО ВЕРХНЕГО ТИПА ПУВ, ПУВ «АВИАТОР»</w:t>
      </w:r>
      <w:r>
        <w:rPr>
          <w:b/>
          <w:bCs/>
        </w:rPr>
      </w:r>
    </w:p>
    <w:p>
      <w:pPr>
        <w:jc w:val="center"/>
        <w:spacing w:after="0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</w:p>
    <w:tbl>
      <w:tblPr>
        <w:tblStyle w:val="719"/>
        <w:tblW w:w="0" w:type="auto"/>
        <w:tblLayout w:type="fixed"/>
        <w:tblLook w:val="04A0" w:firstRow="1" w:lastRow="0" w:firstColumn="1" w:lastColumn="0" w:noHBand="0" w:noVBand="1"/>
      </w:tblPr>
      <w:tblGrid>
        <w:gridCol w:w="948"/>
        <w:gridCol w:w="1882"/>
        <w:gridCol w:w="3828"/>
        <w:gridCol w:w="2686"/>
      </w:tblGrid>
      <w:tr>
        <w:tblPrEx/>
        <w:trPr>
          <w:cantSplit/>
          <w:tblHeader/>
        </w:trPr>
        <w:tc>
          <w:tcPr>
            <w:tcW w:w="948" w:type="dxa"/>
            <w:textDirection w:val="lrTb"/>
            <w:noWrap w:val="false"/>
          </w:tcPr>
          <w:p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№ п/п</w:t>
            </w:r>
            <w:r>
              <w:rPr>
                <w:b/>
                <w:bCs/>
                <w:sz w:val="22"/>
              </w:rPr>
            </w:r>
          </w:p>
        </w:tc>
        <w:tc>
          <w:tcPr>
            <w:gridSpan w:val="2"/>
            <w:tcW w:w="5710" w:type="dxa"/>
            <w:textDirection w:val="lrTb"/>
            <w:noWrap w:val="false"/>
          </w:tcPr>
          <w:p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Необходимые сведения</w:t>
            </w:r>
            <w:r>
              <w:rPr>
                <w:b/>
                <w:bCs/>
                <w:sz w:val="22"/>
              </w:rPr>
            </w:r>
          </w:p>
        </w:tc>
        <w:tc>
          <w:tcPr>
            <w:tcW w:w="2686" w:type="dxa"/>
            <w:textDirection w:val="lrTb"/>
            <w:noWrap w:val="false"/>
          </w:tcPr>
          <w:p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</w:r>
            <w:r>
              <w:rPr>
                <w:b/>
                <w:bCs/>
                <w:sz w:val="22"/>
              </w:rPr>
            </w:r>
          </w:p>
        </w:tc>
      </w:tr>
      <w:tr>
        <w:tblPrEx/>
        <w:trPr>
          <w:cantSplit/>
          <w:trHeight w:val="619"/>
        </w:trPr>
        <w:tc>
          <w:tcPr>
            <w:tcW w:w="948" w:type="dxa"/>
            <w:vAlign w:val="center"/>
            <w:textDirection w:val="lrTb"/>
            <w:noWrap w:val="false"/>
          </w:tcPr>
          <w:p>
            <w:pPr>
              <w:pStyle w:val="714"/>
              <w:numPr>
                <w:ilvl w:val="0"/>
                <w:numId w:val="2"/>
              </w:numPr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gridSpan w:val="2"/>
            <w:tcW w:w="5710" w:type="dxa"/>
            <w:vAlign w:val="center"/>
            <w:textDirection w:val="lrTb"/>
            <w:noWrap w:val="false"/>
          </w:tcPr>
          <w:p>
            <w:pPr>
              <w:rPr>
                <w:sz w:val="22"/>
              </w:rPr>
            </w:pPr>
            <w:r>
              <w:rPr>
                <w:sz w:val="22"/>
              </w:rPr>
              <w:t xml:space="preserve">Назначение</w:t>
            </w:r>
            <w:r>
              <w:rPr>
                <w:sz w:val="22"/>
              </w:rPr>
            </w:r>
          </w:p>
        </w:tc>
        <w:tc>
          <w:tcPr>
            <w:tcW w:w="2686" w:type="dxa"/>
            <w:vAlign w:val="center"/>
            <w:textDirection w:val="lrTb"/>
            <w:noWrap w:val="false"/>
          </w:tcPr>
          <w:p>
            <w:pPr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>
          <w:cantSplit/>
        </w:trPr>
        <w:tc>
          <w:tcPr>
            <w:tcW w:w="948" w:type="dxa"/>
            <w:vAlign w:val="center"/>
            <w:textDirection w:val="lrTb"/>
            <w:noWrap w:val="false"/>
          </w:tcPr>
          <w:p>
            <w:pPr>
              <w:pStyle w:val="714"/>
              <w:numPr>
                <w:ilvl w:val="0"/>
                <w:numId w:val="2"/>
              </w:numPr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gridSpan w:val="2"/>
            <w:tcW w:w="5710" w:type="dxa"/>
            <w:vAlign w:val="center"/>
            <w:textDirection w:val="lrTb"/>
            <w:noWrap w:val="false"/>
          </w:tcPr>
          <w:p>
            <w:pPr>
              <w:rPr>
                <w:sz w:val="22"/>
              </w:rPr>
            </w:pPr>
            <w:r>
              <w:rPr>
                <w:sz w:val="22"/>
              </w:rPr>
              <w:t xml:space="preserve">Количество</w:t>
            </w:r>
            <w:r>
              <w:rPr>
                <w:sz w:val="22"/>
              </w:rPr>
            </w:r>
          </w:p>
        </w:tc>
        <w:tc>
          <w:tcPr>
            <w:tcW w:w="2686" w:type="dxa"/>
            <w:vAlign w:val="center"/>
            <w:textDirection w:val="lrTb"/>
            <w:noWrap w:val="false"/>
          </w:tcPr>
          <w:p>
            <w:pPr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>
          <w:cantSplit/>
        </w:trPr>
        <w:tc>
          <w:tcPr>
            <w:tcW w:w="948" w:type="dxa"/>
            <w:vAlign w:val="center"/>
            <w:vMerge w:val="restart"/>
            <w:textDirection w:val="lrTb"/>
            <w:noWrap w:val="false"/>
          </w:tcPr>
          <w:p>
            <w:pPr>
              <w:pStyle w:val="714"/>
              <w:numPr>
                <w:ilvl w:val="0"/>
                <w:numId w:val="2"/>
              </w:numPr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882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2"/>
              </w:rPr>
            </w:pPr>
            <w:r>
              <w:rPr>
                <w:sz w:val="22"/>
              </w:rPr>
              <w:t xml:space="preserve">Характеристика рабочей среды</w:t>
            </w:r>
            <w:r>
              <w:rPr>
                <w:sz w:val="22"/>
              </w:rPr>
            </w:r>
          </w:p>
        </w:tc>
        <w:tc>
          <w:tcPr>
            <w:tcW w:w="3828" w:type="dxa"/>
            <w:vAlign w:val="center"/>
            <w:textDirection w:val="lrTb"/>
            <w:noWrap w:val="false"/>
          </w:tcPr>
          <w:p>
            <w:pPr>
              <w:rPr>
                <w:sz w:val="22"/>
              </w:rPr>
            </w:pPr>
            <w:r>
              <w:rPr>
                <w:sz w:val="22"/>
              </w:rPr>
              <w:t xml:space="preserve">наименование</w:t>
            </w:r>
            <w:r>
              <w:rPr>
                <w:sz w:val="22"/>
              </w:rPr>
            </w:r>
          </w:p>
        </w:tc>
        <w:tc>
          <w:tcPr>
            <w:tcW w:w="2686" w:type="dxa"/>
            <w:vAlign w:val="center"/>
            <w:textDirection w:val="lrTb"/>
            <w:noWrap w:val="false"/>
          </w:tcPr>
          <w:p>
            <w:pPr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>
          <w:cantSplit/>
        </w:trPr>
        <w:tc>
          <w:tcPr>
            <w:tcW w:w="948" w:type="dxa"/>
            <w:vAlign w:val="center"/>
            <w:vMerge w:val="continue"/>
            <w:textDirection w:val="lrTb"/>
            <w:noWrap w:val="false"/>
          </w:tcPr>
          <w:p>
            <w:pPr>
              <w:pStyle w:val="714"/>
              <w:numPr>
                <w:ilvl w:val="0"/>
                <w:numId w:val="2"/>
              </w:numPr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882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3828" w:type="dxa"/>
            <w:vAlign w:val="center"/>
            <w:textDirection w:val="lrTb"/>
            <w:noWrap w:val="false"/>
          </w:tcPr>
          <w:p>
            <w:pPr>
              <w:rPr>
                <w:sz w:val="22"/>
                <w:vertAlign w:val="superscript"/>
              </w:rPr>
            </w:pPr>
            <w:r>
              <w:rPr>
                <w:sz w:val="22"/>
              </w:rPr>
              <w:t xml:space="preserve">плотность, кг/м</w:t>
            </w:r>
            <w:r>
              <w:rPr>
                <w:sz w:val="22"/>
                <w:vertAlign w:val="superscript"/>
              </w:rPr>
              <w:t xml:space="preserve">3</w:t>
            </w:r>
            <w:r>
              <w:rPr>
                <w:sz w:val="22"/>
                <w:vertAlign w:val="superscript"/>
              </w:rPr>
            </w:r>
          </w:p>
        </w:tc>
        <w:tc>
          <w:tcPr>
            <w:tcW w:w="2686" w:type="dxa"/>
            <w:vAlign w:val="center"/>
            <w:textDirection w:val="lrTb"/>
            <w:noWrap w:val="false"/>
          </w:tcPr>
          <w:p>
            <w:pPr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>
          <w:cantSplit/>
        </w:trPr>
        <w:tc>
          <w:tcPr>
            <w:tcW w:w="948" w:type="dxa"/>
            <w:vAlign w:val="center"/>
            <w:vMerge w:val="continue"/>
            <w:textDirection w:val="lrTb"/>
            <w:noWrap w:val="false"/>
          </w:tcPr>
          <w:p>
            <w:pPr>
              <w:pStyle w:val="714"/>
              <w:numPr>
                <w:ilvl w:val="0"/>
                <w:numId w:val="2"/>
              </w:numPr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882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3828" w:type="dxa"/>
            <w:vAlign w:val="center"/>
            <w:textDirection w:val="lrTb"/>
            <w:noWrap w:val="false"/>
          </w:tcPr>
          <w:p>
            <w:pPr>
              <w:rPr>
                <w:sz w:val="22"/>
              </w:rPr>
            </w:pPr>
            <w:r>
              <w:rPr>
                <w:sz w:val="22"/>
              </w:rPr>
              <w:t xml:space="preserve">класс</w:t>
            </w:r>
            <w:r>
              <w:rPr>
                <w:sz w:val="22"/>
              </w:rPr>
              <w:t xml:space="preserve"> опасности по ГОСТ 12.1.007-76</w:t>
            </w:r>
            <w:r>
              <w:rPr>
                <w:sz w:val="22"/>
              </w:rPr>
            </w:r>
          </w:p>
        </w:tc>
        <w:tc>
          <w:tcPr>
            <w:tcW w:w="2686" w:type="dxa"/>
            <w:vAlign w:val="center"/>
            <w:textDirection w:val="lrTb"/>
            <w:noWrap w:val="false"/>
          </w:tcPr>
          <w:p>
            <w:pPr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>
          <w:cantSplit/>
        </w:trPr>
        <w:tc>
          <w:tcPr>
            <w:tcW w:w="948" w:type="dxa"/>
            <w:vAlign w:val="center"/>
            <w:vMerge w:val="continue"/>
            <w:textDirection w:val="lrTb"/>
            <w:noWrap w:val="false"/>
          </w:tcPr>
          <w:p>
            <w:pPr>
              <w:pStyle w:val="714"/>
              <w:numPr>
                <w:ilvl w:val="0"/>
                <w:numId w:val="2"/>
              </w:numPr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882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3828" w:type="dxa"/>
            <w:vAlign w:val="center"/>
            <w:textDirection w:val="lrTb"/>
            <w:noWrap w:val="false"/>
          </w:tcPr>
          <w:p>
            <w:pPr>
              <w:rPr>
                <w:sz w:val="22"/>
              </w:rPr>
            </w:pPr>
            <w:r>
              <w:rPr>
                <w:sz w:val="22"/>
              </w:rPr>
              <w:t xml:space="preserve">горючесть</w:t>
            </w:r>
            <w:r>
              <w:rPr>
                <w:sz w:val="22"/>
              </w:rPr>
              <w:t xml:space="preserve">, воспламеняемость по ГОСТ 2.1.004-76</w:t>
            </w:r>
            <w:r>
              <w:rPr>
                <w:sz w:val="22"/>
              </w:rPr>
            </w:r>
          </w:p>
        </w:tc>
        <w:tc>
          <w:tcPr>
            <w:tcW w:w="2686" w:type="dxa"/>
            <w:vAlign w:val="center"/>
            <w:textDirection w:val="lrTb"/>
            <w:noWrap w:val="false"/>
          </w:tcPr>
          <w:p>
            <w:pPr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>
          <w:cantSplit/>
        </w:trPr>
        <w:tc>
          <w:tcPr>
            <w:tcW w:w="948" w:type="dxa"/>
            <w:vAlign w:val="center"/>
            <w:vMerge w:val="continue"/>
            <w:textDirection w:val="lrTb"/>
            <w:noWrap w:val="false"/>
          </w:tcPr>
          <w:p>
            <w:pPr>
              <w:pStyle w:val="714"/>
              <w:numPr>
                <w:ilvl w:val="0"/>
                <w:numId w:val="2"/>
              </w:numPr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882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3828" w:type="dxa"/>
            <w:vAlign w:val="center"/>
            <w:textDirection w:val="lrTb"/>
            <w:noWrap w:val="false"/>
          </w:tcPr>
          <w:p>
            <w:pPr>
              <w:rPr>
                <w:sz w:val="22"/>
              </w:rPr>
            </w:pPr>
            <w:r>
              <w:rPr>
                <w:sz w:val="22"/>
              </w:rPr>
              <w:t xml:space="preserve">рабочая температура</w:t>
            </w:r>
            <w:r>
              <w:rPr>
                <w:sz w:val="22"/>
              </w:rPr>
              <w:t xml:space="preserve">, </w:t>
            </w:r>
            <w:r>
              <w:rPr>
                <w:rFonts w:cs="Times New Roman"/>
                <w:sz w:val="22"/>
              </w:rPr>
              <w:t xml:space="preserve">º</w:t>
            </w:r>
            <w:r>
              <w:rPr>
                <w:sz w:val="22"/>
              </w:rPr>
              <w:t xml:space="preserve">С</w:t>
            </w:r>
            <w:r>
              <w:rPr>
                <w:sz w:val="22"/>
              </w:rPr>
            </w:r>
          </w:p>
        </w:tc>
        <w:tc>
          <w:tcPr>
            <w:tcW w:w="2686" w:type="dxa"/>
            <w:vAlign w:val="center"/>
            <w:textDirection w:val="lrTb"/>
            <w:noWrap w:val="false"/>
          </w:tcPr>
          <w:p>
            <w:pPr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>
          <w:cantSplit/>
        </w:trPr>
        <w:tc>
          <w:tcPr>
            <w:tcW w:w="948" w:type="dxa"/>
            <w:vAlign w:val="center"/>
            <w:textDirection w:val="lrTb"/>
            <w:noWrap w:val="false"/>
          </w:tcPr>
          <w:p>
            <w:pPr>
              <w:pStyle w:val="714"/>
              <w:numPr>
                <w:ilvl w:val="0"/>
                <w:numId w:val="2"/>
              </w:numPr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gridSpan w:val="2"/>
            <w:tcW w:w="5710" w:type="dxa"/>
            <w:vAlign w:val="center"/>
            <w:textDirection w:val="lrTb"/>
            <w:noWrap w:val="false"/>
          </w:tcPr>
          <w:p>
            <w:pPr>
              <w:rPr>
                <w:sz w:val="22"/>
              </w:rPr>
            </w:pPr>
            <w:r>
              <w:rPr>
                <w:sz w:val="22"/>
              </w:rPr>
              <w:t xml:space="preserve">Марка стали </w:t>
            </w:r>
            <w:r>
              <w:rPr>
                <w:sz w:val="22"/>
              </w:rPr>
              <w:t xml:space="preserve">резервуара</w:t>
            </w:r>
            <w:r>
              <w:rPr>
                <w:sz w:val="22"/>
              </w:rPr>
            </w:r>
          </w:p>
        </w:tc>
        <w:tc>
          <w:tcPr>
            <w:tcW w:w="2686" w:type="dxa"/>
            <w:vAlign w:val="center"/>
            <w:textDirection w:val="lrTb"/>
            <w:noWrap w:val="false"/>
          </w:tcPr>
          <w:p>
            <w:pPr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>
          <w:cantSplit/>
        </w:trPr>
        <w:tc>
          <w:tcPr>
            <w:tcW w:w="948" w:type="dxa"/>
            <w:vAlign w:val="center"/>
            <w:textDirection w:val="lrTb"/>
            <w:noWrap w:val="false"/>
          </w:tcPr>
          <w:p>
            <w:pPr>
              <w:pStyle w:val="714"/>
              <w:numPr>
                <w:ilvl w:val="0"/>
                <w:numId w:val="2"/>
              </w:numPr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gridSpan w:val="2"/>
            <w:tcW w:w="5710" w:type="dxa"/>
            <w:vAlign w:val="center"/>
            <w:textDirection w:val="lrTb"/>
            <w:noWrap w:val="false"/>
          </w:tcPr>
          <w:p>
            <w:pPr>
              <w:rPr>
                <w:sz w:val="22"/>
              </w:rPr>
            </w:pPr>
            <w:r>
              <w:rPr>
                <w:sz w:val="22"/>
              </w:rPr>
              <w:t xml:space="preserve">Диаметр резервуара</w:t>
            </w:r>
            <w:r>
              <w:rPr>
                <w:sz w:val="22"/>
              </w:rPr>
              <w:t xml:space="preserve">, мм</w:t>
            </w:r>
            <w:r>
              <w:rPr>
                <w:sz w:val="22"/>
              </w:rPr>
            </w:r>
          </w:p>
        </w:tc>
        <w:tc>
          <w:tcPr>
            <w:tcW w:w="2686" w:type="dxa"/>
            <w:vAlign w:val="center"/>
            <w:textDirection w:val="lrTb"/>
            <w:noWrap w:val="false"/>
          </w:tcPr>
          <w:p>
            <w:pPr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>
          <w:cantSplit/>
        </w:trPr>
        <w:tc>
          <w:tcPr>
            <w:tcW w:w="948" w:type="dxa"/>
            <w:vAlign w:val="center"/>
            <w:textDirection w:val="lrTb"/>
            <w:noWrap w:val="false"/>
          </w:tcPr>
          <w:p>
            <w:pPr>
              <w:pStyle w:val="714"/>
              <w:numPr>
                <w:ilvl w:val="0"/>
                <w:numId w:val="2"/>
              </w:numPr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gridSpan w:val="2"/>
            <w:tcW w:w="5710" w:type="dxa"/>
            <w:vAlign w:val="center"/>
            <w:textDirection w:val="lrTb"/>
            <w:noWrap w:val="false"/>
          </w:tcPr>
          <w:p>
            <w:pPr>
              <w:rPr>
                <w:sz w:val="22"/>
              </w:rPr>
            </w:pPr>
            <w:r>
              <w:rPr>
                <w:sz w:val="22"/>
              </w:rPr>
              <w:t xml:space="preserve">Высота стенки резервуара</w:t>
            </w:r>
            <w:r>
              <w:rPr>
                <w:sz w:val="22"/>
              </w:rPr>
              <w:t xml:space="preserve">, мм</w:t>
            </w:r>
            <w:r>
              <w:rPr>
                <w:sz w:val="22"/>
              </w:rPr>
            </w:r>
          </w:p>
        </w:tc>
        <w:tc>
          <w:tcPr>
            <w:tcW w:w="2686" w:type="dxa"/>
            <w:vAlign w:val="center"/>
            <w:textDirection w:val="lrTb"/>
            <w:noWrap w:val="false"/>
          </w:tcPr>
          <w:p>
            <w:pPr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>
          <w:cantSplit/>
        </w:trPr>
        <w:tc>
          <w:tcPr>
            <w:tcW w:w="948" w:type="dxa"/>
            <w:vAlign w:val="center"/>
            <w:textDirection w:val="lrTb"/>
            <w:noWrap w:val="false"/>
          </w:tcPr>
          <w:p>
            <w:pPr>
              <w:pStyle w:val="714"/>
              <w:numPr>
                <w:ilvl w:val="0"/>
                <w:numId w:val="2"/>
              </w:numPr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gridSpan w:val="2"/>
            <w:tcW w:w="5710" w:type="dxa"/>
            <w:vAlign w:val="center"/>
            <w:textDirection w:val="lrTb"/>
            <w:noWrap w:val="false"/>
          </w:tcPr>
          <w:p>
            <w:pPr>
              <w:rPr>
                <w:sz w:val="22"/>
              </w:rPr>
            </w:pPr>
            <w:r>
              <w:rPr>
                <w:sz w:val="22"/>
              </w:rPr>
              <w:t xml:space="preserve">Максимальный уровень налива продукта</w:t>
            </w:r>
            <w:r>
              <w:rPr>
                <w:sz w:val="22"/>
              </w:rPr>
              <w:t xml:space="preserve">, мм</w:t>
            </w:r>
            <w:r>
              <w:rPr>
                <w:sz w:val="22"/>
              </w:rPr>
            </w:r>
          </w:p>
        </w:tc>
        <w:tc>
          <w:tcPr>
            <w:tcW w:w="2686" w:type="dxa"/>
            <w:vAlign w:val="center"/>
            <w:textDirection w:val="lrTb"/>
            <w:noWrap w:val="false"/>
          </w:tcPr>
          <w:p>
            <w:pPr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>
          <w:cantSplit/>
        </w:trPr>
        <w:tc>
          <w:tcPr>
            <w:tcW w:w="948" w:type="dxa"/>
            <w:vAlign w:val="center"/>
            <w:textDirection w:val="lrTb"/>
            <w:noWrap w:val="false"/>
          </w:tcPr>
          <w:p>
            <w:pPr>
              <w:pStyle w:val="714"/>
              <w:numPr>
                <w:ilvl w:val="0"/>
                <w:numId w:val="2"/>
              </w:numPr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gridSpan w:val="2"/>
            <w:tcW w:w="5710" w:type="dxa"/>
            <w:vAlign w:val="center"/>
            <w:textDirection w:val="lrTb"/>
            <w:noWrap w:val="false"/>
          </w:tcPr>
          <w:p>
            <w:pPr>
              <w:rPr>
                <w:sz w:val="22"/>
              </w:rPr>
            </w:pPr>
            <w:r>
              <w:rPr>
                <w:sz w:val="22"/>
              </w:rPr>
              <w:t xml:space="preserve">Условный проход заборной трубы</w:t>
            </w:r>
            <w:r>
              <w:rPr>
                <w:sz w:val="22"/>
              </w:rPr>
              <w:t xml:space="preserve"> (ПУВ)</w:t>
            </w:r>
            <w:r>
              <w:rPr>
                <w:sz w:val="22"/>
              </w:rPr>
              <w:t xml:space="preserve">, мм</w:t>
            </w:r>
            <w:r>
              <w:rPr>
                <w:sz w:val="22"/>
              </w:rPr>
            </w:r>
          </w:p>
        </w:tc>
        <w:tc>
          <w:tcPr>
            <w:tcW w:w="2686" w:type="dxa"/>
            <w:vAlign w:val="center"/>
            <w:textDirection w:val="lrTb"/>
            <w:noWrap w:val="false"/>
          </w:tcPr>
          <w:p>
            <w:pPr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>
          <w:cantSplit/>
        </w:trPr>
        <w:tc>
          <w:tcPr>
            <w:tcW w:w="948" w:type="dxa"/>
            <w:vAlign w:val="center"/>
            <w:textDirection w:val="lrTb"/>
            <w:noWrap w:val="false"/>
          </w:tcPr>
          <w:p>
            <w:pPr>
              <w:pStyle w:val="714"/>
              <w:numPr>
                <w:ilvl w:val="0"/>
                <w:numId w:val="2"/>
              </w:numPr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gridSpan w:val="2"/>
            <w:tcW w:w="5710" w:type="dxa"/>
            <w:vAlign w:val="center"/>
            <w:textDirection w:val="lrTb"/>
            <w:noWrap w:val="false"/>
          </w:tcPr>
          <w:p>
            <w:pPr>
              <w:rPr>
                <w:sz w:val="22"/>
              </w:rPr>
            </w:pPr>
            <w:r>
              <w:rPr>
                <w:sz w:val="22"/>
              </w:rPr>
              <w:t xml:space="preserve">Условный проход пробоотборных труб, мм</w:t>
            </w:r>
            <w:r>
              <w:rPr>
                <w:sz w:val="22"/>
              </w:rPr>
            </w:r>
          </w:p>
        </w:tc>
        <w:tc>
          <w:tcPr>
            <w:tcW w:w="2686" w:type="dxa"/>
            <w:vAlign w:val="center"/>
            <w:textDirection w:val="lrTb"/>
            <w:noWrap w:val="false"/>
          </w:tcPr>
          <w:p>
            <w:pPr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>
          <w:cantSplit/>
        </w:trPr>
        <w:tc>
          <w:tcPr>
            <w:tcW w:w="948" w:type="dxa"/>
            <w:vAlign w:val="center"/>
            <w:textDirection w:val="lrTb"/>
            <w:noWrap w:val="false"/>
          </w:tcPr>
          <w:p>
            <w:pPr>
              <w:pStyle w:val="714"/>
              <w:numPr>
                <w:ilvl w:val="0"/>
                <w:numId w:val="2"/>
              </w:numPr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gridSpan w:val="2"/>
            <w:tcW w:w="5710" w:type="dxa"/>
            <w:vAlign w:val="center"/>
            <w:textDirection w:val="lrTb"/>
            <w:noWrap w:val="false"/>
          </w:tcPr>
          <w:p>
            <w:pPr>
              <w:rPr>
                <w:sz w:val="22"/>
              </w:rPr>
            </w:pPr>
            <w:r>
              <w:rPr>
                <w:sz w:val="22"/>
              </w:rPr>
              <w:t xml:space="preserve">Размеры патрубков приемо-раздаточных и привязка их к стенкам и днищу резервуара</w:t>
            </w:r>
            <w:r>
              <w:rPr>
                <w:sz w:val="22"/>
              </w:rPr>
            </w:r>
          </w:p>
        </w:tc>
        <w:tc>
          <w:tcPr>
            <w:tcW w:w="2686" w:type="dxa"/>
            <w:vAlign w:val="center"/>
            <w:textDirection w:val="lrTb"/>
            <w:noWrap w:val="false"/>
          </w:tcPr>
          <w:p>
            <w:pPr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>
          <w:cantSplit/>
        </w:trPr>
        <w:tc>
          <w:tcPr>
            <w:tcW w:w="948" w:type="dxa"/>
            <w:vAlign w:val="center"/>
            <w:textDirection w:val="lrTb"/>
            <w:noWrap w:val="false"/>
          </w:tcPr>
          <w:p>
            <w:pPr>
              <w:pStyle w:val="714"/>
              <w:numPr>
                <w:ilvl w:val="0"/>
                <w:numId w:val="2"/>
              </w:numPr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gridSpan w:val="2"/>
            <w:tcW w:w="5710" w:type="dxa"/>
            <w:vAlign w:val="center"/>
            <w:textDirection w:val="lrTb"/>
            <w:noWrap w:val="false"/>
          </w:tcPr>
          <w:p>
            <w:pPr>
              <w:rPr>
                <w:sz w:val="22"/>
              </w:rPr>
            </w:pPr>
            <w:r>
              <w:rPr>
                <w:sz w:val="22"/>
              </w:rPr>
              <w:t xml:space="preserve">Климатическое исполнение по ГОСТ 15150</w:t>
            </w:r>
            <w:r>
              <w:rPr>
                <w:sz w:val="22"/>
              </w:rPr>
            </w:r>
          </w:p>
        </w:tc>
        <w:tc>
          <w:tcPr>
            <w:tcW w:w="2686" w:type="dxa"/>
            <w:vAlign w:val="center"/>
            <w:textDirection w:val="lrTb"/>
            <w:noWrap w:val="false"/>
          </w:tcPr>
          <w:p>
            <w:pPr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>
          <w:cantSplit/>
        </w:trPr>
        <w:tc>
          <w:tcPr>
            <w:tcW w:w="948" w:type="dxa"/>
            <w:vAlign w:val="center"/>
            <w:textDirection w:val="lrTb"/>
            <w:noWrap w:val="false"/>
          </w:tcPr>
          <w:p>
            <w:pPr>
              <w:pStyle w:val="714"/>
              <w:numPr>
                <w:ilvl w:val="0"/>
                <w:numId w:val="2"/>
              </w:numPr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gridSpan w:val="2"/>
            <w:tcW w:w="5710" w:type="dxa"/>
            <w:vAlign w:val="center"/>
            <w:textDirection w:val="lrTb"/>
            <w:noWrap w:val="false"/>
          </w:tcPr>
          <w:p>
            <w:pPr>
              <w:rPr>
                <w:sz w:val="22"/>
              </w:rPr>
            </w:pPr>
            <w:r>
              <w:rPr>
                <w:sz w:val="22"/>
              </w:rPr>
              <w:t xml:space="preserve">Расстояние от </w:t>
            </w:r>
            <w:r>
              <w:rPr>
                <w:sz w:val="22"/>
              </w:rPr>
              <w:t xml:space="preserve">патрубка узла управления до шкафа</w:t>
            </w:r>
            <w:r>
              <w:rPr>
                <w:sz w:val="22"/>
              </w:rPr>
              <w:t xml:space="preserve">*</w:t>
            </w:r>
            <w:r>
              <w:rPr>
                <w:sz w:val="22"/>
              </w:rPr>
              <w:t xml:space="preserve"> управления, мм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</w:r>
          </w:p>
          <w:p>
            <w:pPr>
              <w:rPr>
                <w:sz w:val="22"/>
              </w:rPr>
            </w:pPr>
            <w:r>
              <w:rPr>
                <w:sz w:val="22"/>
              </w:rPr>
              <w:t xml:space="preserve">*Шкаф должен располагаться ниже уровня резервуара</w:t>
            </w:r>
            <w:r>
              <w:rPr>
                <w:sz w:val="22"/>
              </w:rPr>
            </w:r>
          </w:p>
        </w:tc>
        <w:tc>
          <w:tcPr>
            <w:tcW w:w="2686" w:type="dxa"/>
            <w:vAlign w:val="center"/>
            <w:textDirection w:val="lrTb"/>
            <w:noWrap w:val="false"/>
          </w:tcPr>
          <w:p>
            <w:pPr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>
          <w:cantSplit/>
          <w:trHeight w:val="52"/>
        </w:trPr>
        <w:tc>
          <w:tcPr>
            <w:tcW w:w="948" w:type="dxa"/>
            <w:vAlign w:val="center"/>
            <w:vMerge w:val="restart"/>
            <w:textDirection w:val="lrTb"/>
            <w:noWrap w:val="false"/>
          </w:tcPr>
          <w:p>
            <w:pPr>
              <w:pStyle w:val="714"/>
              <w:numPr>
                <w:ilvl w:val="0"/>
                <w:numId w:val="2"/>
              </w:numPr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882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2"/>
              </w:rPr>
            </w:pPr>
            <w:r>
              <w:rPr>
                <w:sz w:val="22"/>
              </w:rPr>
              <w:t xml:space="preserve">Комплектация ПУВ, указать нужное</w:t>
            </w:r>
            <w:r>
              <w:rPr>
                <w:sz w:val="22"/>
              </w:rPr>
            </w:r>
          </w:p>
        </w:tc>
        <w:tc>
          <w:tcPr>
            <w:tcW w:w="3828" w:type="dxa"/>
            <w:vAlign w:val="center"/>
            <w:textDirection w:val="lrTb"/>
            <w:noWrap w:val="false"/>
          </w:tcPr>
          <w:p>
            <w:pPr>
              <w:rPr>
                <w:sz w:val="22"/>
              </w:rPr>
            </w:pPr>
            <w:r>
              <w:rPr>
                <w:sz w:val="22"/>
              </w:rPr>
              <w:t xml:space="preserve">Плавающее устройство верхнего забора топлива </w:t>
            </w:r>
            <w:r>
              <w:rPr>
                <w:sz w:val="22"/>
              </w:rPr>
            </w:r>
          </w:p>
        </w:tc>
        <w:tc>
          <w:tcPr>
            <w:tcW w:w="2686" w:type="dxa"/>
            <w:vAlign w:val="center"/>
            <w:textDirection w:val="lrTb"/>
            <w:noWrap w:val="false"/>
          </w:tcPr>
          <w:p>
            <w:pPr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>
          <w:cantSplit/>
          <w:trHeight w:val="50"/>
        </w:trPr>
        <w:tc>
          <w:tcPr>
            <w:tcW w:w="948" w:type="dxa"/>
            <w:vAlign w:val="center"/>
            <w:vMerge w:val="continue"/>
            <w:textDirection w:val="lrTb"/>
            <w:noWrap w:val="false"/>
          </w:tcPr>
          <w:p>
            <w:pPr>
              <w:pStyle w:val="714"/>
              <w:numPr>
                <w:ilvl w:val="0"/>
                <w:numId w:val="2"/>
              </w:numPr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882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3828" w:type="dxa"/>
            <w:vAlign w:val="center"/>
            <w:textDirection w:val="lrTb"/>
            <w:noWrap w:val="false"/>
          </w:tcPr>
          <w:p>
            <w:pPr>
              <w:rPr>
                <w:sz w:val="22"/>
              </w:rPr>
            </w:pPr>
            <w:r>
              <w:rPr>
                <w:sz w:val="22"/>
              </w:rPr>
              <w:t xml:space="preserve">Дисковый затор внутри резервуара, управляемый снаружи с ручным приводом</w:t>
            </w:r>
            <w:r>
              <w:rPr>
                <w:sz w:val="22"/>
              </w:rPr>
            </w:r>
          </w:p>
        </w:tc>
        <w:tc>
          <w:tcPr>
            <w:tcW w:w="2686" w:type="dxa"/>
            <w:vAlign w:val="center"/>
            <w:textDirection w:val="lrTb"/>
            <w:noWrap w:val="false"/>
          </w:tcPr>
          <w:p>
            <w:pPr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>
          <w:cantSplit/>
          <w:trHeight w:val="50"/>
        </w:trPr>
        <w:tc>
          <w:tcPr>
            <w:tcW w:w="948" w:type="dxa"/>
            <w:vAlign w:val="center"/>
            <w:vMerge w:val="continue"/>
            <w:textDirection w:val="lrTb"/>
            <w:noWrap w:val="false"/>
          </w:tcPr>
          <w:p>
            <w:pPr>
              <w:pStyle w:val="714"/>
              <w:numPr>
                <w:ilvl w:val="0"/>
                <w:numId w:val="2"/>
              </w:numPr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882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3828" w:type="dxa"/>
            <w:vAlign w:val="center"/>
            <w:textDirection w:val="lrTb"/>
            <w:noWrap w:val="false"/>
          </w:tcPr>
          <w:p>
            <w:pPr>
              <w:rPr>
                <w:sz w:val="22"/>
              </w:rPr>
            </w:pPr>
            <w:r>
              <w:rPr>
                <w:sz w:val="22"/>
              </w:rPr>
              <w:t xml:space="preserve">Патрубок приемораздаточный</w:t>
            </w:r>
            <w:r>
              <w:rPr>
                <w:sz w:val="22"/>
              </w:rPr>
            </w:r>
          </w:p>
        </w:tc>
        <w:tc>
          <w:tcPr>
            <w:tcW w:w="2686" w:type="dxa"/>
            <w:vAlign w:val="center"/>
            <w:textDirection w:val="lrTb"/>
            <w:noWrap w:val="false"/>
          </w:tcPr>
          <w:p>
            <w:pPr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>
          <w:cantSplit/>
          <w:trHeight w:val="50"/>
        </w:trPr>
        <w:tc>
          <w:tcPr>
            <w:tcW w:w="948" w:type="dxa"/>
            <w:vAlign w:val="center"/>
            <w:vMerge w:val="continue"/>
            <w:textDirection w:val="lrTb"/>
            <w:noWrap w:val="false"/>
          </w:tcPr>
          <w:p>
            <w:pPr>
              <w:pStyle w:val="714"/>
              <w:numPr>
                <w:ilvl w:val="0"/>
                <w:numId w:val="2"/>
              </w:numPr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882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3828" w:type="dxa"/>
            <w:vAlign w:val="center"/>
            <w:textDirection w:val="lrTb"/>
            <w:noWrap w:val="false"/>
          </w:tcPr>
          <w:p>
            <w:pPr>
              <w:rPr>
                <w:sz w:val="22"/>
              </w:rPr>
            </w:pPr>
            <w:r>
              <w:rPr>
                <w:sz w:val="22"/>
              </w:rPr>
              <w:t xml:space="preserve">Узел управления</w:t>
            </w:r>
            <w:r>
              <w:rPr>
                <w:sz w:val="22"/>
              </w:rPr>
            </w:r>
          </w:p>
        </w:tc>
        <w:tc>
          <w:tcPr>
            <w:tcW w:w="2686" w:type="dxa"/>
            <w:vAlign w:val="center"/>
            <w:textDirection w:val="lrTb"/>
            <w:noWrap w:val="false"/>
          </w:tcPr>
          <w:p>
            <w:pPr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>
          <w:cantSplit/>
          <w:trHeight w:val="50"/>
        </w:trPr>
        <w:tc>
          <w:tcPr>
            <w:tcW w:w="948" w:type="dxa"/>
            <w:vAlign w:val="center"/>
            <w:vMerge w:val="continue"/>
            <w:textDirection w:val="lrTb"/>
            <w:noWrap w:val="false"/>
          </w:tcPr>
          <w:p>
            <w:pPr>
              <w:pStyle w:val="714"/>
              <w:numPr>
                <w:ilvl w:val="0"/>
                <w:numId w:val="2"/>
              </w:numPr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882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3828" w:type="dxa"/>
            <w:vAlign w:val="center"/>
            <w:textDirection w:val="lrTb"/>
            <w:noWrap w:val="false"/>
          </w:tcPr>
          <w:p>
            <w:pPr>
              <w:rPr>
                <w:sz w:val="22"/>
              </w:rPr>
            </w:pPr>
            <w:r>
              <w:rPr>
                <w:sz w:val="22"/>
              </w:rPr>
              <w:t xml:space="preserve">Трубки для соединения шкафа управления с узлом управления</w:t>
            </w:r>
            <w:r>
              <w:rPr>
                <w:sz w:val="22"/>
              </w:rPr>
            </w:r>
          </w:p>
        </w:tc>
        <w:tc>
          <w:tcPr>
            <w:tcW w:w="2686" w:type="dxa"/>
            <w:vAlign w:val="center"/>
            <w:textDirection w:val="lrTb"/>
            <w:noWrap w:val="false"/>
          </w:tcPr>
          <w:p>
            <w:pPr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>
          <w:cantSplit/>
          <w:trHeight w:val="50"/>
        </w:trPr>
        <w:tc>
          <w:tcPr>
            <w:tcW w:w="948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882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3828" w:type="dxa"/>
            <w:vAlign w:val="center"/>
            <w:textDirection w:val="lrTb"/>
            <w:noWrap w:val="false"/>
          </w:tcPr>
          <w:p>
            <w:pPr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2686" w:type="dxa"/>
            <w:vAlign w:val="center"/>
            <w:textDirection w:val="lrTb"/>
            <w:noWrap w:val="false"/>
          </w:tcPr>
          <w:p>
            <w:pPr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>
          <w:cantSplit/>
        </w:trPr>
        <w:tc>
          <w:tcPr>
            <w:tcW w:w="948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2"/>
              </w:rPr>
            </w:pPr>
            <w:r>
              <w:rPr>
                <w:sz w:val="22"/>
              </w:rPr>
              <w:t xml:space="preserve">      1</w:t>
            </w:r>
            <w:r>
              <w:rPr>
                <w:sz w:val="22"/>
              </w:rPr>
              <w:t xml:space="preserve">4</w:t>
            </w:r>
            <w:r>
              <w:rPr>
                <w:sz w:val="22"/>
              </w:rPr>
              <w:t xml:space="preserve">.</w:t>
            </w:r>
            <w:r>
              <w:rPr>
                <w:sz w:val="22"/>
              </w:rPr>
            </w:r>
          </w:p>
        </w:tc>
        <w:tc>
          <w:tcPr>
            <w:tcW w:w="1882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2"/>
              </w:rPr>
            </w:pPr>
            <w:r>
              <w:rPr>
                <w:sz w:val="22"/>
              </w:rPr>
              <w:t xml:space="preserve">Комплектация шкафа управления, указать нужное</w:t>
            </w:r>
            <w:r>
              <w:rPr>
                <w:sz w:val="22"/>
              </w:rPr>
            </w:r>
          </w:p>
        </w:tc>
        <w:tc>
          <w:tcPr>
            <w:tcW w:w="3828" w:type="dxa"/>
            <w:vAlign w:val="center"/>
            <w:textDirection w:val="lrTb"/>
            <w:noWrap w:val="false"/>
          </w:tcPr>
          <w:p>
            <w:pPr>
              <w:rPr>
                <w:sz w:val="22"/>
              </w:rPr>
            </w:pPr>
            <w:r>
              <w:rPr>
                <w:sz w:val="22"/>
              </w:rPr>
              <w:t xml:space="preserve">Материальное исполнение каркаса шкафа</w:t>
            </w:r>
            <w:r>
              <w:rPr>
                <w:sz w:val="22"/>
              </w:rPr>
              <w:t xml:space="preserve">, указать нужное</w:t>
            </w:r>
            <w:r>
              <w:rPr>
                <w:sz w:val="22"/>
              </w:rPr>
            </w:r>
          </w:p>
        </w:tc>
        <w:tc>
          <w:tcPr>
            <w:tcW w:w="2686" w:type="dxa"/>
            <w:vAlign w:val="center"/>
            <w:textDirection w:val="lrTb"/>
            <w:noWrap w:val="false"/>
          </w:tcPr>
          <w:p>
            <w:pPr>
              <w:rPr>
                <w:sz w:val="22"/>
              </w:rPr>
            </w:pPr>
            <w:r>
              <w:rPr>
                <w:sz w:val="22"/>
              </w:rPr>
              <w:t xml:space="preserve">Углеродистая сталь </w:t>
            </w:r>
            <w:r>
              <w:rPr>
                <w:sz w:val="22"/>
              </w:rPr>
            </w:r>
          </w:p>
          <w:p>
            <w:pPr>
              <w:rPr>
                <w:sz w:val="22"/>
              </w:rPr>
            </w:pPr>
            <w:r>
              <w:rPr>
                <w:sz w:val="22"/>
              </w:rPr>
              <w:t xml:space="preserve">Нержавеющая сталь</w:t>
            </w:r>
            <w:r>
              <w:rPr>
                <w:sz w:val="22"/>
              </w:rPr>
            </w:r>
          </w:p>
        </w:tc>
      </w:tr>
      <w:tr>
        <w:tblPrEx/>
        <w:trPr>
          <w:cantSplit/>
        </w:trPr>
        <w:tc>
          <w:tcPr>
            <w:tcW w:w="948" w:type="dxa"/>
            <w:vAlign w:val="center"/>
            <w:vMerge w:val="continue"/>
            <w:textDirection w:val="lrTb"/>
            <w:noWrap w:val="false"/>
          </w:tcPr>
          <w:p>
            <w:pPr>
              <w:pStyle w:val="714"/>
              <w:numPr>
                <w:ilvl w:val="0"/>
                <w:numId w:val="2"/>
              </w:numPr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882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3828" w:type="dxa"/>
            <w:vAlign w:val="center"/>
            <w:textDirection w:val="lrTb"/>
            <w:noWrap w:val="false"/>
          </w:tcPr>
          <w:p>
            <w:pPr>
              <w:rPr>
                <w:sz w:val="22"/>
              </w:rPr>
            </w:pPr>
            <w:r>
              <w:rPr>
                <w:sz w:val="22"/>
              </w:rPr>
              <w:t xml:space="preserve">Индикатор потока жидкости</w:t>
            </w:r>
            <w:r>
              <w:rPr>
                <w:sz w:val="22"/>
              </w:rPr>
            </w:r>
          </w:p>
        </w:tc>
        <w:tc>
          <w:tcPr>
            <w:tcW w:w="2686" w:type="dxa"/>
            <w:vAlign w:val="center"/>
            <w:textDirection w:val="lrTb"/>
            <w:noWrap w:val="false"/>
          </w:tcPr>
          <w:p>
            <w:pPr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>
          <w:cantSplit/>
        </w:trPr>
        <w:tc>
          <w:tcPr>
            <w:tcW w:w="948" w:type="dxa"/>
            <w:vAlign w:val="center"/>
            <w:vMerge w:val="continue"/>
            <w:textDirection w:val="lrTb"/>
            <w:noWrap w:val="false"/>
          </w:tcPr>
          <w:p>
            <w:pPr>
              <w:pStyle w:val="714"/>
              <w:numPr>
                <w:ilvl w:val="0"/>
                <w:numId w:val="2"/>
              </w:numPr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882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3828" w:type="dxa"/>
            <w:vAlign w:val="center"/>
            <w:textDirection w:val="lrTb"/>
            <w:noWrap w:val="false"/>
          </w:tcPr>
          <w:p>
            <w:pPr>
              <w:rPr>
                <w:sz w:val="22"/>
              </w:rPr>
            </w:pPr>
            <w:r>
              <w:rPr>
                <w:sz w:val="22"/>
              </w:rPr>
              <w:t xml:space="preserve">Пробоотборная тара</w:t>
            </w:r>
            <w:r>
              <w:rPr>
                <w:sz w:val="22"/>
              </w:rPr>
            </w:r>
          </w:p>
        </w:tc>
        <w:tc>
          <w:tcPr>
            <w:tcW w:w="2686" w:type="dxa"/>
            <w:vAlign w:val="center"/>
            <w:textDirection w:val="lrTb"/>
            <w:noWrap w:val="false"/>
          </w:tcPr>
          <w:p>
            <w:pPr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>
          <w:cantSplit/>
        </w:trPr>
        <w:tc>
          <w:tcPr>
            <w:tcW w:w="948" w:type="dxa"/>
            <w:vAlign w:val="center"/>
            <w:vMerge w:val="continue"/>
            <w:textDirection w:val="lrTb"/>
            <w:noWrap w:val="false"/>
          </w:tcPr>
          <w:p>
            <w:pPr>
              <w:pStyle w:val="714"/>
              <w:numPr>
                <w:ilvl w:val="0"/>
                <w:numId w:val="2"/>
              </w:numPr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882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3828" w:type="dxa"/>
            <w:vAlign w:val="center"/>
            <w:textDirection w:val="lrTb"/>
            <w:noWrap w:val="false"/>
          </w:tcPr>
          <w:p>
            <w:pPr>
              <w:rPr>
                <w:sz w:val="22"/>
              </w:rPr>
            </w:pPr>
            <w:r>
              <w:rPr>
                <w:sz w:val="22"/>
              </w:rPr>
              <w:t xml:space="preserve">С</w:t>
            </w:r>
            <w:r>
              <w:rPr>
                <w:sz w:val="22"/>
              </w:rPr>
              <w:t xml:space="preserve">истем</w:t>
            </w:r>
            <w:r>
              <w:rPr>
                <w:sz w:val="22"/>
              </w:rPr>
              <w:t xml:space="preserve">а</w:t>
            </w:r>
            <w:r>
              <w:rPr>
                <w:sz w:val="22"/>
              </w:rPr>
              <w:t xml:space="preserve"> визуализации качества топлива</w:t>
            </w:r>
            <w:r>
              <w:rPr>
                <w:sz w:val="22"/>
              </w:rPr>
            </w:r>
          </w:p>
        </w:tc>
        <w:tc>
          <w:tcPr>
            <w:tcW w:w="2686" w:type="dxa"/>
            <w:vAlign w:val="center"/>
            <w:textDirection w:val="lrTb"/>
            <w:noWrap w:val="false"/>
          </w:tcPr>
          <w:p>
            <w:pPr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>
          <w:cantSplit/>
        </w:trPr>
        <w:tc>
          <w:tcPr>
            <w:tcW w:w="948" w:type="dxa"/>
            <w:vAlign w:val="center"/>
            <w:vMerge w:val="continue"/>
            <w:textDirection w:val="lrTb"/>
            <w:noWrap w:val="false"/>
          </w:tcPr>
          <w:p>
            <w:pPr>
              <w:pStyle w:val="714"/>
              <w:numPr>
                <w:ilvl w:val="0"/>
                <w:numId w:val="2"/>
              </w:numPr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882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3828" w:type="dxa"/>
            <w:vAlign w:val="center"/>
            <w:textDirection w:val="lrTb"/>
            <w:noWrap w:val="false"/>
          </w:tcPr>
          <w:p>
            <w:pPr>
              <w:rPr>
                <w:sz w:val="22"/>
              </w:rPr>
            </w:pPr>
            <w:r>
              <w:rPr>
                <w:sz w:val="22"/>
              </w:rPr>
              <w:t xml:space="preserve">С</w:t>
            </w:r>
            <w:r>
              <w:rPr>
                <w:sz w:val="22"/>
              </w:rPr>
              <w:t xml:space="preserve">истема контроля положения </w:t>
            </w:r>
            <w:r>
              <w:rPr>
                <w:sz w:val="22"/>
              </w:rPr>
              <w:t xml:space="preserve">ПУВ</w:t>
            </w:r>
            <w:r>
              <w:rPr>
                <w:sz w:val="22"/>
              </w:rPr>
              <w:t xml:space="preserve"> внутри резервуара</w:t>
            </w:r>
            <w:r>
              <w:rPr>
                <w:sz w:val="22"/>
              </w:rPr>
            </w:r>
          </w:p>
        </w:tc>
        <w:tc>
          <w:tcPr>
            <w:tcW w:w="2686" w:type="dxa"/>
            <w:vAlign w:val="center"/>
            <w:textDirection w:val="lrTb"/>
            <w:noWrap w:val="false"/>
          </w:tcPr>
          <w:p>
            <w:pPr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>
          <w:cantSplit/>
        </w:trPr>
        <w:tc>
          <w:tcPr>
            <w:tcW w:w="948" w:type="dxa"/>
            <w:vAlign w:val="center"/>
            <w:vMerge w:val="continue"/>
            <w:textDirection w:val="lrTb"/>
            <w:noWrap w:val="false"/>
          </w:tcPr>
          <w:p>
            <w:pPr>
              <w:pStyle w:val="714"/>
              <w:numPr>
                <w:ilvl w:val="0"/>
                <w:numId w:val="2"/>
              </w:numPr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882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3828" w:type="dxa"/>
            <w:vAlign w:val="center"/>
            <w:textDirection w:val="lrTb"/>
            <w:noWrap w:val="false"/>
          </w:tcPr>
          <w:p>
            <w:pPr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2686" w:type="dxa"/>
            <w:vAlign w:val="center"/>
            <w:textDirection w:val="lrTb"/>
            <w:noWrap w:val="false"/>
          </w:tcPr>
          <w:p>
            <w:pPr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>
          <w:cantSplit/>
          <w:trHeight w:val="851"/>
        </w:trPr>
        <w:tc>
          <w:tcPr>
            <w:gridSpan w:val="4"/>
            <w:tcW w:w="9344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Дополнительные технические требования</w:t>
            </w:r>
            <w:r>
              <w:rPr>
                <w:b/>
                <w:bCs/>
                <w:sz w:val="22"/>
              </w:rPr>
            </w:r>
          </w:p>
        </w:tc>
      </w:tr>
      <w:tr>
        <w:tblPrEx/>
        <w:trPr>
          <w:cantSplit/>
          <w:trHeight w:val="12337"/>
        </w:trPr>
        <w:tc>
          <w:tcPr>
            <w:gridSpan w:val="4"/>
            <w:tcW w:w="9344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</w:r>
            <w:r>
              <w:rPr>
                <w:b/>
                <w:bCs/>
                <w:sz w:val="22"/>
              </w:rPr>
            </w:r>
          </w:p>
        </w:tc>
      </w:tr>
    </w:tbl>
    <w:p>
      <w:pPr>
        <w:jc w:val="both"/>
        <w:spacing w:after="0"/>
      </w:pPr>
      <w:r/>
      <w:r/>
    </w:p>
    <w:sectPr>
      <w:footerReference w:type="default" r:id="rId9"/>
      <w:footnotePr/>
      <w:endnotePr/>
      <w:type w:val="nextPage"/>
      <w:pgSz w:w="11906" w:h="16838" w:orient="portrait"/>
      <w:pgMar w:top="1134" w:right="851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/>
      </w:pPr>
      <w:r>
        <w:separator/>
      </w:r>
      <w:r/>
    </w:p>
  </w:endnote>
  <w:endnote w:type="continuationSeparator" w:id="0">
    <w:p>
      <w:pPr>
        <w:spacing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Liberation Sans">
    <w:panose1 w:val="020B0604020202020204"/>
  </w:font>
  <w:font w:name="Calibri">
    <w:panose1 w:val="020F050202020403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326702859"/>
      <w:docPartObj>
        <w:docPartGallery w:val="Page Numbers (Bottom of Page)"/>
        <w:docPartUnique w:val="true"/>
      </w:docPartObj>
      <w:rPr/>
    </w:sdtPr>
    <w:sdtContent>
      <w:p>
        <w:pPr>
          <w:pStyle w:val="722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2</w:t>
        </w:r>
        <w:r>
          <w:fldChar w:fldCharType="end"/>
        </w:r>
        <w:r/>
      </w:p>
    </w:sdtContent>
  </w:sdt>
  <w:p>
    <w:pPr>
      <w:pStyle w:val="722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/>
      </w:pPr>
      <w:r>
        <w:separator/>
      </w:r>
      <w:r/>
    </w:p>
  </w:footnote>
  <w:footnote w:type="continuationSeparator" w:id="0">
    <w:p>
      <w:pPr>
        <w:spacing w:after="0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5">
    <w:name w:val="Heading 1 Char"/>
    <w:basedOn w:val="696"/>
    <w:link w:val="687"/>
    <w:uiPriority w:val="9"/>
    <w:rPr>
      <w:rFonts w:ascii="Liberation Sans" w:hAnsi="Liberation Sans" w:eastAsia="Liberation Sans" w:cs="Liberation Sans"/>
      <w:sz w:val="40"/>
      <w:szCs w:val="40"/>
    </w:rPr>
  </w:style>
  <w:style w:type="character" w:styleId="17">
    <w:name w:val="Heading 2 Char"/>
    <w:basedOn w:val="696"/>
    <w:link w:val="688"/>
    <w:uiPriority w:val="9"/>
    <w:rPr>
      <w:rFonts w:ascii="Liberation Sans" w:hAnsi="Liberation Sans" w:eastAsia="Liberation Sans" w:cs="Liberation Sans"/>
      <w:sz w:val="34"/>
    </w:rPr>
  </w:style>
  <w:style w:type="character" w:styleId="19">
    <w:name w:val="Heading 3 Char"/>
    <w:basedOn w:val="696"/>
    <w:link w:val="689"/>
    <w:uiPriority w:val="9"/>
    <w:rPr>
      <w:rFonts w:ascii="Liberation Sans" w:hAnsi="Liberation Sans" w:eastAsia="Liberation Sans" w:cs="Liberation Sans"/>
      <w:sz w:val="30"/>
      <w:szCs w:val="30"/>
    </w:rPr>
  </w:style>
  <w:style w:type="character" w:styleId="21">
    <w:name w:val="Heading 4 Char"/>
    <w:basedOn w:val="696"/>
    <w:link w:val="690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3">
    <w:name w:val="Heading 5 Char"/>
    <w:basedOn w:val="696"/>
    <w:link w:val="691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25">
    <w:name w:val="Heading 6 Char"/>
    <w:basedOn w:val="696"/>
    <w:link w:val="692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27">
    <w:name w:val="Heading 7 Char"/>
    <w:basedOn w:val="696"/>
    <w:link w:val="693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9">
    <w:name w:val="Heading 8 Char"/>
    <w:basedOn w:val="696"/>
    <w:link w:val="694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31">
    <w:name w:val="Heading 9 Char"/>
    <w:basedOn w:val="696"/>
    <w:link w:val="695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34">
    <w:name w:val="No Spacing"/>
    <w:uiPriority w:val="1"/>
    <w:qFormat/>
    <w:pPr>
      <w:spacing w:before="0" w:after="0" w:line="240" w:lineRule="auto"/>
    </w:pPr>
  </w:style>
  <w:style w:type="character" w:styleId="36">
    <w:name w:val="Title Char"/>
    <w:basedOn w:val="696"/>
    <w:link w:val="708"/>
    <w:uiPriority w:val="10"/>
    <w:rPr>
      <w:sz w:val="48"/>
      <w:szCs w:val="48"/>
    </w:rPr>
  </w:style>
  <w:style w:type="character" w:styleId="38">
    <w:name w:val="Subtitle Char"/>
    <w:basedOn w:val="696"/>
    <w:link w:val="710"/>
    <w:uiPriority w:val="11"/>
    <w:rPr>
      <w:sz w:val="24"/>
      <w:szCs w:val="24"/>
    </w:rPr>
  </w:style>
  <w:style w:type="character" w:styleId="40">
    <w:name w:val="Quote Char"/>
    <w:link w:val="712"/>
    <w:uiPriority w:val="29"/>
    <w:rPr>
      <w:i/>
    </w:rPr>
  </w:style>
  <w:style w:type="character" w:styleId="42">
    <w:name w:val="Intense Quote Char"/>
    <w:link w:val="716"/>
    <w:uiPriority w:val="30"/>
    <w:rPr>
      <w:i/>
    </w:rPr>
  </w:style>
  <w:style w:type="character" w:styleId="44">
    <w:name w:val="Header Char"/>
    <w:basedOn w:val="696"/>
    <w:link w:val="720"/>
    <w:uiPriority w:val="99"/>
  </w:style>
  <w:style w:type="character" w:styleId="46">
    <w:name w:val="Footer Char"/>
    <w:basedOn w:val="696"/>
    <w:link w:val="722"/>
    <w:uiPriority w:val="99"/>
  </w:style>
  <w:style w:type="paragraph" w:styleId="47">
    <w:name w:val="Caption"/>
    <w:basedOn w:val="686"/>
    <w:next w:val="686"/>
    <w:link w:val="4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8">
    <w:name w:val="Caption Char"/>
    <w:basedOn w:val="696"/>
    <w:link w:val="47"/>
    <w:uiPriority w:val="35"/>
    <w:rPr>
      <w:b/>
      <w:bCs/>
      <w:color w:val="4f81bd" w:themeColor="accent1"/>
      <w:sz w:val="18"/>
      <w:szCs w:val="18"/>
    </w:rPr>
  </w:style>
  <w:style w:type="table" w:styleId="50">
    <w:name w:val="Table Grid Light"/>
    <w:basedOn w:val="69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1">
    <w:name w:val="Plain Table 1"/>
    <w:basedOn w:val="69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2">
    <w:name w:val="Plain Table 2"/>
    <w:basedOn w:val="69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3">
    <w:name w:val="Plain Table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4">
    <w:name w:val="Plain Table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Plain Table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6">
    <w:name w:val="Grid Table 1 Light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1 Light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3">
    <w:name w:val="Grid Table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2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3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">
    <w:name w:val="Grid Table 4"/>
    <w:basedOn w:val="69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">
    <w:name w:val="Grid Table 4 - Accent 1"/>
    <w:basedOn w:val="69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">
    <w:name w:val="Grid Table 4 - Accent 2"/>
    <w:basedOn w:val="69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">
    <w:name w:val="Grid Table 4 - Accent 3"/>
    <w:basedOn w:val="69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">
    <w:name w:val="Grid Table 4 - Accent 4"/>
    <w:basedOn w:val="69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">
    <w:name w:val="Grid Table 4 - Accent 5"/>
    <w:basedOn w:val="69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">
    <w:name w:val="Grid Table 4 - Accent 6"/>
    <w:basedOn w:val="69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">
    <w:name w:val="Grid Table 5 Dark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5">
    <w:name w:val="Grid Table 5 Dark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8">
    <w:name w:val="Grid Table 5 Dark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90">
    <w:name w:val="Grid Table 5 Dark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1">
    <w:name w:val="Grid Table 6 Colorful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92">
    <w:name w:val="Grid Table 6 Colorful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93">
    <w:name w:val="Grid Table 6 Colorful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94">
    <w:name w:val="Grid Table 6 Colorful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95">
    <w:name w:val="Grid Table 6 Colorful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96">
    <w:name w:val="Grid Table 6 Colorful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7">
    <w:name w:val="Grid Table 6 Colorful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8">
    <w:name w:val="Grid Table 7 Colorful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317bba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606060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254374" w:themeColor="accent5" w:themeShade="95"/>
        <w:sz w:val="22"/>
      </w:rPr>
    </w:tblStylePr>
    <w:tblStylePr w:type="firstCol">
      <w:rPr>
        <w:rFonts w:ascii="Liberation Sans" w:hAnsi="Liberation Sans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4">
    <w:name w:val="Grid Table 7 Colorful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26429" w:themeColor="accent6" w:themeShade="95"/>
        <w:sz w:val="22"/>
      </w:rPr>
    </w:tblStylePr>
    <w:tblStylePr w:type="firstCol">
      <w:rPr>
        <w:rFonts w:ascii="Liberation Sans" w:hAnsi="Liberation Sans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5">
    <w:name w:val="List Table 1 Light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1 Light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">
    <w:name w:val="List Table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3">
    <w:name w:val="List Table 2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4">
    <w:name w:val="List Table 2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5">
    <w:name w:val="List Table 2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6">
    <w:name w:val="List Table 2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7">
    <w:name w:val="List Table 2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8">
    <w:name w:val="List Table 2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9">
    <w:name w:val="List Table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3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4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3">
    <w:name w:val="List Table 5 Dark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4">
    <w:name w:val="List Table 5 Dark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5">
    <w:name w:val="List Table 5 Dark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6">
    <w:name w:val="List Table 5 Dark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7">
    <w:name w:val="List Table 5 Dark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8">
    <w:name w:val="List Table 5 Dark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9">
    <w:name w:val="List Table 5 Dark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40">
    <w:name w:val="List Table 6 Colorful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1">
    <w:name w:val="List Table 6 Colorful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2">
    <w:name w:val="List Table 6 Colorful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3">
    <w:name w:val="List Table 6 Colorful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4">
    <w:name w:val="List Table 6 Colorful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5">
    <w:name w:val="List Table 6 Colorful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6">
    <w:name w:val="List Table 6 Colorful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7">
    <w:name w:val="List Table 7 Colorful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148">
    <w:name w:val="List Table 7 Colorful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245d8d" w:themeColor="accent1" w:themeShade="95"/>
        <w:sz w:val="22"/>
      </w:rPr>
    </w:tblStylePr>
    <w:tblStylePr w:type="firstCol">
      <w:rPr>
        <w:rFonts w:ascii="Liberation Sans" w:hAnsi="Liberation Sans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45d8d" w:themeColor="accent1" w:themeShade="95"/>
        <w:sz w:val="22"/>
      </w:rPr>
    </w:tblStylePr>
  </w:style>
  <w:style w:type="table" w:styleId="149">
    <w:name w:val="List Table 7 Colorful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c95712" w:themeColor="accent2" w:themeTint="97" w:themeShade="95"/>
        <w:sz w:val="22"/>
      </w:rPr>
    </w:tblStylePr>
  </w:style>
  <w:style w:type="table" w:styleId="150">
    <w:name w:val="List Table 7 Colorful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757575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757575" w:themeColor="accent3" w:themeTint="98" w:themeShade="95"/>
        <w:sz w:val="22"/>
      </w:rPr>
    </w:tblStylePr>
  </w:style>
  <w:style w:type="table" w:styleId="151">
    <w:name w:val="List Table 7 Colorful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cd9600" w:themeColor="accent4" w:themeTint="9A" w:themeShade="95"/>
        <w:sz w:val="22"/>
      </w:rPr>
    </w:tblStylePr>
  </w:style>
  <w:style w:type="table" w:styleId="152">
    <w:name w:val="List Table 7 Colorful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335e9e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335e9e" w:themeColor="accent5" w:themeTint="9A" w:themeShade="95"/>
        <w:sz w:val="22"/>
      </w:rPr>
    </w:tblStylePr>
  </w:style>
  <w:style w:type="table" w:styleId="153">
    <w:name w:val="List Table 7 Colorful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5f8f3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5f8f3c" w:themeColor="accent6" w:themeTint="98" w:themeShade="95"/>
        <w:sz w:val="22"/>
      </w:rPr>
    </w:tblStylePr>
  </w:style>
  <w:style w:type="table" w:styleId="154">
    <w:name w:val="Lined - Accent"/>
    <w:basedOn w:val="69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5">
    <w:name w:val="Lined - Accent 1"/>
    <w:basedOn w:val="69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6">
    <w:name w:val="Lined - Accent 2"/>
    <w:basedOn w:val="69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7">
    <w:name w:val="Lined - Accent 3"/>
    <w:basedOn w:val="69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8">
    <w:name w:val="Lined - Accent 4"/>
    <w:basedOn w:val="69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9">
    <w:name w:val="Lined - Accent 5"/>
    <w:basedOn w:val="69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0">
    <w:name w:val="Lined - Accent 6"/>
    <w:basedOn w:val="69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1">
    <w:name w:val="Bordered &amp; Lined - Accent"/>
    <w:basedOn w:val="69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2">
    <w:name w:val="Bordered &amp; Lined - Accent 1"/>
    <w:basedOn w:val="69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3">
    <w:name w:val="Bordered &amp; Lined - Accent 2"/>
    <w:basedOn w:val="69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4">
    <w:name w:val="Bordered &amp; Lined - Accent 3"/>
    <w:basedOn w:val="69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5">
    <w:name w:val="Bordered &amp; Lined - Accent 4"/>
    <w:basedOn w:val="69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6">
    <w:name w:val="Bordered &amp; Lined - Accent 5"/>
    <w:basedOn w:val="69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7">
    <w:name w:val="Bordered &amp; Lined - Accent 6"/>
    <w:basedOn w:val="69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8">
    <w:name w:val="Bordered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9">
    <w:name w:val="Bordered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70">
    <w:name w:val="Bordered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1">
    <w:name w:val="Bordered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2">
    <w:name w:val="Bordered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3">
    <w:name w:val="Bordered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4">
    <w:name w:val="Bordered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5">
    <w:name w:val="Hyperlink"/>
    <w:uiPriority w:val="99"/>
    <w:unhideWhenUsed/>
    <w:rPr>
      <w:color w:val="0000ff" w:themeColor="hyperlink"/>
      <w:u w:val="single"/>
    </w:rPr>
  </w:style>
  <w:style w:type="paragraph" w:styleId="176">
    <w:name w:val="footnote text"/>
    <w:basedOn w:val="686"/>
    <w:link w:val="177"/>
    <w:uiPriority w:val="99"/>
    <w:semiHidden/>
    <w:unhideWhenUsed/>
    <w:pPr>
      <w:spacing w:after="40" w:line="240" w:lineRule="auto"/>
    </w:pPr>
    <w:rPr>
      <w:sz w:val="18"/>
    </w:rPr>
  </w:style>
  <w:style w:type="character" w:styleId="177">
    <w:name w:val="Footnote Text Char"/>
    <w:link w:val="176"/>
    <w:uiPriority w:val="99"/>
    <w:rPr>
      <w:sz w:val="18"/>
    </w:rPr>
  </w:style>
  <w:style w:type="character" w:styleId="178">
    <w:name w:val="footnote reference"/>
    <w:basedOn w:val="696"/>
    <w:uiPriority w:val="99"/>
    <w:unhideWhenUsed/>
    <w:rPr>
      <w:vertAlign w:val="superscript"/>
    </w:rPr>
  </w:style>
  <w:style w:type="paragraph" w:styleId="179">
    <w:name w:val="endnote text"/>
    <w:basedOn w:val="686"/>
    <w:link w:val="180"/>
    <w:uiPriority w:val="99"/>
    <w:semiHidden/>
    <w:unhideWhenUsed/>
    <w:pPr>
      <w:spacing w:after="0" w:line="240" w:lineRule="auto"/>
    </w:pPr>
    <w:rPr>
      <w:sz w:val="20"/>
    </w:rPr>
  </w:style>
  <w:style w:type="character" w:styleId="180">
    <w:name w:val="Endnote Text Char"/>
    <w:link w:val="179"/>
    <w:uiPriority w:val="99"/>
    <w:rPr>
      <w:sz w:val="20"/>
    </w:rPr>
  </w:style>
  <w:style w:type="character" w:styleId="181">
    <w:name w:val="endnote reference"/>
    <w:basedOn w:val="696"/>
    <w:uiPriority w:val="99"/>
    <w:semiHidden/>
    <w:unhideWhenUsed/>
    <w:rPr>
      <w:vertAlign w:val="superscript"/>
    </w:rPr>
  </w:style>
  <w:style w:type="paragraph" w:styleId="182">
    <w:name w:val="toc 1"/>
    <w:basedOn w:val="686"/>
    <w:next w:val="686"/>
    <w:uiPriority w:val="39"/>
    <w:unhideWhenUsed/>
    <w:pPr>
      <w:ind w:left="0" w:right="0" w:firstLine="0"/>
      <w:spacing w:after="57"/>
    </w:pPr>
  </w:style>
  <w:style w:type="paragraph" w:styleId="183">
    <w:name w:val="toc 2"/>
    <w:basedOn w:val="686"/>
    <w:next w:val="686"/>
    <w:uiPriority w:val="39"/>
    <w:unhideWhenUsed/>
    <w:pPr>
      <w:ind w:left="283" w:right="0" w:firstLine="0"/>
      <w:spacing w:after="57"/>
    </w:pPr>
  </w:style>
  <w:style w:type="paragraph" w:styleId="184">
    <w:name w:val="toc 3"/>
    <w:basedOn w:val="686"/>
    <w:next w:val="686"/>
    <w:uiPriority w:val="39"/>
    <w:unhideWhenUsed/>
    <w:pPr>
      <w:ind w:left="567" w:right="0" w:firstLine="0"/>
      <w:spacing w:after="57"/>
    </w:pPr>
  </w:style>
  <w:style w:type="paragraph" w:styleId="185">
    <w:name w:val="toc 4"/>
    <w:basedOn w:val="686"/>
    <w:next w:val="686"/>
    <w:uiPriority w:val="39"/>
    <w:unhideWhenUsed/>
    <w:pPr>
      <w:ind w:left="850" w:right="0" w:firstLine="0"/>
      <w:spacing w:after="57"/>
    </w:pPr>
  </w:style>
  <w:style w:type="paragraph" w:styleId="186">
    <w:name w:val="toc 5"/>
    <w:basedOn w:val="686"/>
    <w:next w:val="686"/>
    <w:uiPriority w:val="39"/>
    <w:unhideWhenUsed/>
    <w:pPr>
      <w:ind w:left="1134" w:right="0" w:firstLine="0"/>
      <w:spacing w:after="57"/>
    </w:pPr>
  </w:style>
  <w:style w:type="paragraph" w:styleId="187">
    <w:name w:val="toc 6"/>
    <w:basedOn w:val="686"/>
    <w:next w:val="686"/>
    <w:uiPriority w:val="39"/>
    <w:unhideWhenUsed/>
    <w:pPr>
      <w:ind w:left="1417" w:right="0" w:firstLine="0"/>
      <w:spacing w:after="57"/>
    </w:pPr>
  </w:style>
  <w:style w:type="paragraph" w:styleId="188">
    <w:name w:val="toc 7"/>
    <w:basedOn w:val="686"/>
    <w:next w:val="686"/>
    <w:uiPriority w:val="39"/>
    <w:unhideWhenUsed/>
    <w:pPr>
      <w:ind w:left="1701" w:right="0" w:firstLine="0"/>
      <w:spacing w:after="57"/>
    </w:pPr>
  </w:style>
  <w:style w:type="paragraph" w:styleId="189">
    <w:name w:val="toc 8"/>
    <w:basedOn w:val="686"/>
    <w:next w:val="686"/>
    <w:uiPriority w:val="39"/>
    <w:unhideWhenUsed/>
    <w:pPr>
      <w:ind w:left="1984" w:right="0" w:firstLine="0"/>
      <w:spacing w:after="57"/>
    </w:pPr>
  </w:style>
  <w:style w:type="paragraph" w:styleId="190">
    <w:name w:val="toc 9"/>
    <w:basedOn w:val="686"/>
    <w:next w:val="686"/>
    <w:uiPriority w:val="39"/>
    <w:unhideWhenUsed/>
    <w:pPr>
      <w:ind w:left="2268" w:right="0" w:firstLine="0"/>
      <w:spacing w:after="57"/>
    </w:pPr>
  </w:style>
  <w:style w:type="paragraph" w:styleId="191">
    <w:name w:val="TOC Heading"/>
    <w:uiPriority w:val="39"/>
    <w:unhideWhenUsed/>
  </w:style>
  <w:style w:type="paragraph" w:styleId="192">
    <w:name w:val="table of figures"/>
    <w:basedOn w:val="686"/>
    <w:next w:val="686"/>
    <w:uiPriority w:val="99"/>
    <w:unhideWhenUsed/>
    <w:pPr>
      <w:spacing w:after="0" w:afterAutospacing="0"/>
    </w:pPr>
  </w:style>
  <w:style w:type="paragraph" w:styleId="686" w:default="1">
    <w:name w:val="Normal"/>
    <w:qFormat/>
    <w:pPr>
      <w:spacing w:line="240" w:lineRule="auto"/>
    </w:pPr>
    <w:rPr>
      <w:rFonts w:ascii="Times New Roman" w:hAnsi="Times New Roman"/>
      <w:sz w:val="28"/>
    </w:rPr>
  </w:style>
  <w:style w:type="paragraph" w:styleId="687">
    <w:name w:val="Heading 1"/>
    <w:basedOn w:val="686"/>
    <w:next w:val="686"/>
    <w:link w:val="699"/>
    <w:uiPriority w:val="9"/>
    <w:qFormat/>
    <w:pPr>
      <w:keepLines/>
      <w:keepNext/>
      <w:spacing w:before="360" w:after="80"/>
      <w:outlineLvl w:val="0"/>
    </w:pPr>
    <w:rPr>
      <w:rFonts w:asciiTheme="majorHAnsi" w:hAnsiTheme="majorHAnsi" w:eastAsiaTheme="majorEastAsia" w:cstheme="majorBidi"/>
      <w:color w:val="2e74b5" w:themeColor="accent1" w:themeShade="BF"/>
      <w:sz w:val="40"/>
      <w:szCs w:val="40"/>
    </w:rPr>
  </w:style>
  <w:style w:type="paragraph" w:styleId="688">
    <w:name w:val="Heading 2"/>
    <w:basedOn w:val="686"/>
    <w:next w:val="686"/>
    <w:link w:val="700"/>
    <w:uiPriority w:val="9"/>
    <w:semiHidden/>
    <w:unhideWhenUsed/>
    <w:qFormat/>
    <w:pPr>
      <w:keepLines/>
      <w:keepNext/>
      <w:spacing w:before="160" w:after="80"/>
      <w:outlineLvl w:val="1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689">
    <w:name w:val="Heading 3"/>
    <w:basedOn w:val="686"/>
    <w:next w:val="686"/>
    <w:link w:val="701"/>
    <w:uiPriority w:val="9"/>
    <w:semiHidden/>
    <w:unhideWhenUsed/>
    <w:qFormat/>
    <w:pPr>
      <w:keepLines/>
      <w:keepNext/>
      <w:spacing w:before="160" w:after="80"/>
      <w:outlineLvl w:val="2"/>
    </w:pPr>
    <w:rPr>
      <w:rFonts w:asciiTheme="minorHAnsi" w:hAnsiTheme="minorHAnsi" w:eastAsiaTheme="majorEastAsia" w:cstheme="majorBidi"/>
      <w:color w:val="2e74b5" w:themeColor="accent1" w:themeShade="BF"/>
      <w:szCs w:val="28"/>
    </w:rPr>
  </w:style>
  <w:style w:type="paragraph" w:styleId="690">
    <w:name w:val="Heading 4"/>
    <w:basedOn w:val="686"/>
    <w:next w:val="686"/>
    <w:link w:val="702"/>
    <w:uiPriority w:val="9"/>
    <w:semiHidden/>
    <w:unhideWhenUsed/>
    <w:qFormat/>
    <w:pPr>
      <w:keepLines/>
      <w:keepNext/>
      <w:spacing w:before="80" w:after="40"/>
      <w:outlineLvl w:val="3"/>
    </w:pPr>
    <w:rPr>
      <w:rFonts w:asciiTheme="minorHAnsi" w:hAnsiTheme="minorHAnsi" w:eastAsiaTheme="majorEastAsia" w:cstheme="majorBidi"/>
      <w:i/>
      <w:iCs/>
      <w:color w:val="2e74b5" w:themeColor="accent1" w:themeShade="BF"/>
    </w:rPr>
  </w:style>
  <w:style w:type="paragraph" w:styleId="691">
    <w:name w:val="Heading 5"/>
    <w:basedOn w:val="686"/>
    <w:next w:val="686"/>
    <w:link w:val="703"/>
    <w:uiPriority w:val="9"/>
    <w:semiHidden/>
    <w:unhideWhenUsed/>
    <w:qFormat/>
    <w:pPr>
      <w:keepLines/>
      <w:keepNext/>
      <w:spacing w:before="80" w:after="40"/>
      <w:outlineLvl w:val="4"/>
    </w:pPr>
    <w:rPr>
      <w:rFonts w:asciiTheme="minorHAnsi" w:hAnsiTheme="minorHAnsi" w:eastAsiaTheme="majorEastAsia" w:cstheme="majorBidi"/>
      <w:color w:val="2e74b5" w:themeColor="accent1" w:themeShade="BF"/>
    </w:rPr>
  </w:style>
  <w:style w:type="paragraph" w:styleId="692">
    <w:name w:val="Heading 6"/>
    <w:basedOn w:val="686"/>
    <w:next w:val="686"/>
    <w:link w:val="704"/>
    <w:uiPriority w:val="9"/>
    <w:semiHidden/>
    <w:unhideWhenUsed/>
    <w:qFormat/>
    <w:pPr>
      <w:keepLines/>
      <w:keepNext/>
      <w:spacing w:before="40" w:after="0"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</w:rPr>
  </w:style>
  <w:style w:type="paragraph" w:styleId="693">
    <w:name w:val="Heading 7"/>
    <w:basedOn w:val="686"/>
    <w:next w:val="686"/>
    <w:link w:val="705"/>
    <w:uiPriority w:val="9"/>
    <w:semiHidden/>
    <w:unhideWhenUsed/>
    <w:qFormat/>
    <w:pPr>
      <w:keepLines/>
      <w:keepNext/>
      <w:spacing w:before="40" w:after="0"/>
      <w:outlineLvl w:val="6"/>
    </w:pPr>
    <w:rPr>
      <w:rFonts w:asciiTheme="minorHAnsi" w:hAnsiTheme="minorHAnsi" w:eastAsiaTheme="majorEastAsia" w:cstheme="majorBidi"/>
      <w:color w:val="595959" w:themeColor="text1" w:themeTint="A6"/>
    </w:rPr>
  </w:style>
  <w:style w:type="paragraph" w:styleId="694">
    <w:name w:val="Heading 8"/>
    <w:basedOn w:val="686"/>
    <w:next w:val="686"/>
    <w:link w:val="706"/>
    <w:uiPriority w:val="9"/>
    <w:semiHidden/>
    <w:unhideWhenUsed/>
    <w:qFormat/>
    <w:pPr>
      <w:keepLines/>
      <w:keepNext/>
      <w:spacing w:after="0"/>
      <w:outlineLvl w:val="7"/>
    </w:pPr>
    <w:rPr>
      <w:rFonts w:asciiTheme="minorHAnsi" w:hAnsiTheme="minorHAnsi" w:eastAsiaTheme="majorEastAsia" w:cstheme="majorBidi"/>
      <w:i/>
      <w:iCs/>
      <w:color w:val="272727" w:themeColor="text1" w:themeTint="D8"/>
    </w:rPr>
  </w:style>
  <w:style w:type="paragraph" w:styleId="695">
    <w:name w:val="Heading 9"/>
    <w:basedOn w:val="686"/>
    <w:next w:val="686"/>
    <w:link w:val="707"/>
    <w:uiPriority w:val="9"/>
    <w:semiHidden/>
    <w:unhideWhenUsed/>
    <w:qFormat/>
    <w:pPr>
      <w:keepLines/>
      <w:keepNext/>
      <w:spacing w:after="0"/>
      <w:outlineLvl w:val="8"/>
    </w:pPr>
    <w:rPr>
      <w:rFonts w:asciiTheme="minorHAnsi" w:hAnsiTheme="minorHAnsi" w:eastAsiaTheme="majorEastAsia" w:cstheme="majorBidi"/>
      <w:color w:val="272727" w:themeColor="text1" w:themeTint="D8"/>
    </w:rPr>
  </w:style>
  <w:style w:type="character" w:styleId="696" w:default="1">
    <w:name w:val="Default Paragraph Font"/>
    <w:uiPriority w:val="1"/>
    <w:semiHidden/>
    <w:unhideWhenUsed/>
  </w:style>
  <w:style w:type="table" w:styleId="69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98" w:default="1">
    <w:name w:val="No List"/>
    <w:uiPriority w:val="99"/>
    <w:semiHidden/>
    <w:unhideWhenUsed/>
  </w:style>
  <w:style w:type="character" w:styleId="699" w:customStyle="1">
    <w:name w:val="Заголовок 1 Знак"/>
    <w:basedOn w:val="696"/>
    <w:link w:val="687"/>
    <w:uiPriority w:val="9"/>
    <w:rPr>
      <w:rFonts w:asciiTheme="majorHAnsi" w:hAnsiTheme="majorHAnsi" w:eastAsiaTheme="majorEastAsia" w:cstheme="majorBidi"/>
      <w:color w:val="2e74b5" w:themeColor="accent1" w:themeShade="BF"/>
      <w:sz w:val="40"/>
      <w:szCs w:val="40"/>
    </w:rPr>
  </w:style>
  <w:style w:type="character" w:styleId="700" w:customStyle="1">
    <w:name w:val="Заголовок 2 Знак"/>
    <w:basedOn w:val="696"/>
    <w:link w:val="688"/>
    <w:uiPriority w:val="9"/>
    <w:semiHidden/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character" w:styleId="701" w:customStyle="1">
    <w:name w:val="Заголовок 3 Знак"/>
    <w:basedOn w:val="696"/>
    <w:link w:val="689"/>
    <w:uiPriority w:val="9"/>
    <w:semiHidden/>
    <w:rPr>
      <w:rFonts w:eastAsiaTheme="majorEastAsia" w:cstheme="majorBidi"/>
      <w:color w:val="2e74b5" w:themeColor="accent1" w:themeShade="BF"/>
      <w:sz w:val="28"/>
      <w:szCs w:val="28"/>
    </w:rPr>
  </w:style>
  <w:style w:type="character" w:styleId="702" w:customStyle="1">
    <w:name w:val="Заголовок 4 Знак"/>
    <w:basedOn w:val="696"/>
    <w:link w:val="690"/>
    <w:uiPriority w:val="9"/>
    <w:semiHidden/>
    <w:rPr>
      <w:rFonts w:eastAsiaTheme="majorEastAsia" w:cstheme="majorBidi"/>
      <w:i/>
      <w:iCs/>
      <w:color w:val="2e74b5" w:themeColor="accent1" w:themeShade="BF"/>
      <w:sz w:val="28"/>
    </w:rPr>
  </w:style>
  <w:style w:type="character" w:styleId="703" w:customStyle="1">
    <w:name w:val="Заголовок 5 Знак"/>
    <w:basedOn w:val="696"/>
    <w:link w:val="691"/>
    <w:uiPriority w:val="9"/>
    <w:semiHidden/>
    <w:rPr>
      <w:rFonts w:eastAsiaTheme="majorEastAsia" w:cstheme="majorBidi"/>
      <w:color w:val="2e74b5" w:themeColor="accent1" w:themeShade="BF"/>
      <w:sz w:val="28"/>
    </w:rPr>
  </w:style>
  <w:style w:type="character" w:styleId="704" w:customStyle="1">
    <w:name w:val="Заголовок 6 Знак"/>
    <w:basedOn w:val="696"/>
    <w:link w:val="692"/>
    <w:uiPriority w:val="9"/>
    <w:semiHidden/>
    <w:rPr>
      <w:rFonts w:eastAsiaTheme="majorEastAsia" w:cstheme="majorBidi"/>
      <w:i/>
      <w:iCs/>
      <w:color w:val="595959" w:themeColor="text1" w:themeTint="A6"/>
      <w:sz w:val="28"/>
    </w:rPr>
  </w:style>
  <w:style w:type="character" w:styleId="705" w:customStyle="1">
    <w:name w:val="Заголовок 7 Знак"/>
    <w:basedOn w:val="696"/>
    <w:link w:val="693"/>
    <w:uiPriority w:val="9"/>
    <w:semiHidden/>
    <w:rPr>
      <w:rFonts w:eastAsiaTheme="majorEastAsia" w:cstheme="majorBidi"/>
      <w:color w:val="595959" w:themeColor="text1" w:themeTint="A6"/>
      <w:sz w:val="28"/>
    </w:rPr>
  </w:style>
  <w:style w:type="character" w:styleId="706" w:customStyle="1">
    <w:name w:val="Заголовок 8 Знак"/>
    <w:basedOn w:val="696"/>
    <w:link w:val="694"/>
    <w:uiPriority w:val="9"/>
    <w:semiHidden/>
    <w:rPr>
      <w:rFonts w:eastAsiaTheme="majorEastAsia" w:cstheme="majorBidi"/>
      <w:i/>
      <w:iCs/>
      <w:color w:val="272727" w:themeColor="text1" w:themeTint="D8"/>
      <w:sz w:val="28"/>
    </w:rPr>
  </w:style>
  <w:style w:type="character" w:styleId="707" w:customStyle="1">
    <w:name w:val="Заголовок 9 Знак"/>
    <w:basedOn w:val="696"/>
    <w:link w:val="695"/>
    <w:uiPriority w:val="9"/>
    <w:semiHidden/>
    <w:rPr>
      <w:rFonts w:eastAsiaTheme="majorEastAsia" w:cstheme="majorBidi"/>
      <w:color w:val="272727" w:themeColor="text1" w:themeTint="D8"/>
      <w:sz w:val="28"/>
    </w:rPr>
  </w:style>
  <w:style w:type="paragraph" w:styleId="708">
    <w:name w:val="Title"/>
    <w:basedOn w:val="686"/>
    <w:next w:val="686"/>
    <w:link w:val="709"/>
    <w:uiPriority w:val="10"/>
    <w:qFormat/>
    <w:pPr>
      <w:contextualSpacing/>
      <w:spacing w:after="80"/>
    </w:pPr>
    <w:rPr>
      <w:rFonts w:asciiTheme="majorHAnsi" w:hAnsiTheme="majorHAnsi" w:eastAsiaTheme="majorEastAsia" w:cstheme="majorBidi"/>
      <w:spacing w:val="-10"/>
      <w:sz w:val="56"/>
      <w:szCs w:val="56"/>
    </w:rPr>
  </w:style>
  <w:style w:type="character" w:styleId="709" w:customStyle="1">
    <w:name w:val="Заголовок Знак"/>
    <w:basedOn w:val="696"/>
    <w:link w:val="708"/>
    <w:uiPriority w:val="10"/>
    <w:rPr>
      <w:rFonts w:asciiTheme="majorHAnsi" w:hAnsiTheme="majorHAnsi" w:eastAsiaTheme="majorEastAsia" w:cstheme="majorBidi"/>
      <w:spacing w:val="-10"/>
      <w:sz w:val="56"/>
      <w:szCs w:val="56"/>
    </w:rPr>
  </w:style>
  <w:style w:type="paragraph" w:styleId="710">
    <w:name w:val="Subtitle"/>
    <w:basedOn w:val="686"/>
    <w:next w:val="686"/>
    <w:link w:val="711"/>
    <w:uiPriority w:val="11"/>
    <w:qFormat/>
    <w:pPr>
      <w:numPr>
        <w:ilvl w:val="1"/>
      </w:numPr>
    </w:pPr>
    <w:rPr>
      <w:rFonts w:asciiTheme="minorHAnsi" w:hAnsiTheme="minorHAnsi" w:eastAsiaTheme="majorEastAsia" w:cstheme="majorBidi"/>
      <w:color w:val="595959" w:themeColor="text1" w:themeTint="A6"/>
      <w:spacing w:val="15"/>
      <w:szCs w:val="28"/>
    </w:rPr>
  </w:style>
  <w:style w:type="character" w:styleId="711" w:customStyle="1">
    <w:name w:val="Подзаголовок Знак"/>
    <w:basedOn w:val="696"/>
    <w:link w:val="710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712">
    <w:name w:val="Quote"/>
    <w:basedOn w:val="686"/>
    <w:next w:val="686"/>
    <w:link w:val="713"/>
    <w:uiPriority w:val="29"/>
    <w:qFormat/>
    <w:pPr>
      <w:jc w:val="center"/>
      <w:spacing w:before="160"/>
    </w:pPr>
    <w:rPr>
      <w:i/>
      <w:iCs/>
      <w:color w:val="404040" w:themeColor="text1" w:themeTint="BF"/>
    </w:rPr>
  </w:style>
  <w:style w:type="character" w:styleId="713" w:customStyle="1">
    <w:name w:val="Цитата 2 Знак"/>
    <w:basedOn w:val="696"/>
    <w:link w:val="712"/>
    <w:uiPriority w:val="29"/>
    <w:rPr>
      <w:rFonts w:ascii="Times New Roman" w:hAnsi="Times New Roman"/>
      <w:i/>
      <w:iCs/>
      <w:color w:val="404040" w:themeColor="text1" w:themeTint="BF"/>
      <w:sz w:val="28"/>
    </w:rPr>
  </w:style>
  <w:style w:type="paragraph" w:styleId="714">
    <w:name w:val="List Paragraph"/>
    <w:basedOn w:val="686"/>
    <w:uiPriority w:val="34"/>
    <w:qFormat/>
    <w:pPr>
      <w:contextualSpacing/>
      <w:ind w:left="720"/>
    </w:pPr>
  </w:style>
  <w:style w:type="character" w:styleId="715">
    <w:name w:val="Intense Emphasis"/>
    <w:basedOn w:val="696"/>
    <w:uiPriority w:val="21"/>
    <w:qFormat/>
    <w:rPr>
      <w:i/>
      <w:iCs/>
      <w:color w:val="2e74b5" w:themeColor="accent1" w:themeShade="BF"/>
    </w:rPr>
  </w:style>
  <w:style w:type="paragraph" w:styleId="716">
    <w:name w:val="Intense Quote"/>
    <w:basedOn w:val="686"/>
    <w:next w:val="686"/>
    <w:link w:val="717"/>
    <w:uiPriority w:val="30"/>
    <w:qFormat/>
    <w:pPr>
      <w:ind w:left="864" w:right="864"/>
      <w:jc w:val="center"/>
      <w:spacing w:before="360" w:after="360"/>
      <w:pBdr>
        <w:top w:val="single" w:color="2E74B5" w:themeColor="accent1" w:themeShade="BF" w:sz="4" w:space="10"/>
        <w:bottom w:val="single" w:color="2E74B5" w:themeColor="accent1" w:themeShade="BF" w:sz="4" w:space="10"/>
      </w:pBdr>
    </w:pPr>
    <w:rPr>
      <w:i/>
      <w:iCs/>
      <w:color w:val="2e74b5" w:themeColor="accent1" w:themeShade="BF"/>
    </w:rPr>
  </w:style>
  <w:style w:type="character" w:styleId="717" w:customStyle="1">
    <w:name w:val="Выделенная цитата Знак"/>
    <w:basedOn w:val="696"/>
    <w:link w:val="716"/>
    <w:uiPriority w:val="30"/>
    <w:rPr>
      <w:rFonts w:ascii="Times New Roman" w:hAnsi="Times New Roman"/>
      <w:i/>
      <w:iCs/>
      <w:color w:val="2e74b5" w:themeColor="accent1" w:themeShade="BF"/>
      <w:sz w:val="28"/>
    </w:rPr>
  </w:style>
  <w:style w:type="character" w:styleId="718">
    <w:name w:val="Intense Reference"/>
    <w:basedOn w:val="696"/>
    <w:uiPriority w:val="32"/>
    <w:qFormat/>
    <w:rPr>
      <w:b/>
      <w:bCs/>
      <w:smallCaps/>
      <w:color w:val="2e74b5" w:themeColor="accent1" w:themeShade="BF"/>
      <w:spacing w:val="5"/>
    </w:rPr>
  </w:style>
  <w:style w:type="table" w:styleId="719">
    <w:name w:val="Table Grid"/>
    <w:basedOn w:val="697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720">
    <w:name w:val="Header"/>
    <w:basedOn w:val="686"/>
    <w:link w:val="721"/>
    <w:uiPriority w:val="99"/>
    <w:unhideWhenUsed/>
    <w:pPr>
      <w:spacing w:after="0"/>
      <w:tabs>
        <w:tab w:val="center" w:pos="4677" w:leader="none"/>
        <w:tab w:val="right" w:pos="9355" w:leader="none"/>
      </w:tabs>
    </w:pPr>
  </w:style>
  <w:style w:type="character" w:styleId="721" w:customStyle="1">
    <w:name w:val="Верхний колонтитул Знак"/>
    <w:basedOn w:val="696"/>
    <w:link w:val="720"/>
    <w:uiPriority w:val="99"/>
    <w:rPr>
      <w:rFonts w:ascii="Times New Roman" w:hAnsi="Times New Roman"/>
      <w:sz w:val="28"/>
    </w:rPr>
  </w:style>
  <w:style w:type="paragraph" w:styleId="722">
    <w:name w:val="Footer"/>
    <w:basedOn w:val="686"/>
    <w:link w:val="723"/>
    <w:uiPriority w:val="99"/>
    <w:unhideWhenUsed/>
    <w:pPr>
      <w:spacing w:after="0"/>
      <w:tabs>
        <w:tab w:val="center" w:pos="4677" w:leader="none"/>
        <w:tab w:val="right" w:pos="9355" w:leader="none"/>
      </w:tabs>
    </w:pPr>
  </w:style>
  <w:style w:type="character" w:styleId="723" w:customStyle="1">
    <w:name w:val="Нижний колонтитул Знак"/>
    <w:basedOn w:val="696"/>
    <w:link w:val="722"/>
    <w:uiPriority w:val="99"/>
    <w:rPr>
      <w:rFonts w:ascii="Times New Roman" w:hAnsi="Times New Roman"/>
      <w:sz w:val="2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Relationship Id="rId11" Type="http://schemas.openxmlformats.org/officeDocument/2006/relationships/hyperlink" Target="https://aurora-oil.ru/" TargetMode="External"/><Relationship Id="rId12" Type="http://schemas.openxmlformats.org/officeDocument/2006/relationships/hyperlink" Target="https://aurora-oil.ru/" TargetMode="External"/><Relationship Id="rId13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C38369-EBF8-4206-8376-7334A68F4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r7-office/2025.3.2.1000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Калягина Полина Витальевна</dc:creator>
  <cp:keywords/>
  <dc:description/>
  <cp:lastModifiedBy>Калягина Полина Витальевна</cp:lastModifiedBy>
  <cp:revision>12</cp:revision>
  <dcterms:created xsi:type="dcterms:W3CDTF">2026-02-26T04:44:00Z</dcterms:created>
  <dcterms:modified xsi:type="dcterms:W3CDTF">2026-04-23T04:06:32Z</dcterms:modified>
</cp:coreProperties>
</file>